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09F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409F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81183B">
        <w:rPr>
          <w:rFonts w:ascii="Arial" w:hAnsi="Arial" w:cs="Arial"/>
          <w:b/>
          <w:bCs/>
          <w:sz w:val="28"/>
          <w:szCs w:val="28"/>
          <w:u w:val="single"/>
        </w:rPr>
        <w:t xml:space="preserve">GREAT BARFORD </w:t>
      </w:r>
      <w:r w:rsidR="007016DB">
        <w:rPr>
          <w:rFonts w:ascii="Arial" w:hAnsi="Arial" w:cs="Arial"/>
          <w:b/>
          <w:bCs/>
          <w:sz w:val="28"/>
          <w:szCs w:val="28"/>
          <w:u w:val="single"/>
        </w:rPr>
        <w:t xml:space="preserve">CHURCH OF ENGLAND </w:t>
      </w:r>
      <w:r w:rsidR="004824E3">
        <w:rPr>
          <w:rFonts w:ascii="Arial" w:hAnsi="Arial" w:cs="Arial"/>
          <w:b/>
          <w:bCs/>
          <w:sz w:val="28"/>
          <w:szCs w:val="28"/>
          <w:u w:val="single"/>
        </w:rPr>
        <w:t>PRIMARY ACADEMY</w:t>
      </w:r>
    </w:p>
    <w:p w:rsidR="005E409F" w:rsidRPr="0081183B" w:rsidRDefault="005E409F" w:rsidP="005E409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1183B">
        <w:rPr>
          <w:rFonts w:ascii="Arial" w:hAnsi="Arial" w:cs="Arial"/>
          <w:b/>
          <w:bCs/>
          <w:sz w:val="28"/>
          <w:szCs w:val="28"/>
          <w:u w:val="single"/>
        </w:rPr>
        <w:t>Disability Equality Scheme and Accessibility Plan</w:t>
      </w:r>
      <w:r w:rsidRPr="0081183B">
        <w:rPr>
          <w:rFonts w:ascii="Arial" w:hAnsi="Arial" w:cs="Arial"/>
          <w:b/>
          <w:bCs/>
          <w:sz w:val="28"/>
          <w:szCs w:val="28"/>
        </w:rPr>
        <w:tab/>
      </w:r>
    </w:p>
    <w:p w:rsidR="005E409F" w:rsidRPr="0081183B" w:rsidRDefault="005E409F" w:rsidP="005E409F">
      <w:pPr>
        <w:rPr>
          <w:rFonts w:ascii="Arial" w:hAnsi="Arial" w:cs="Arial"/>
          <w:b/>
        </w:rPr>
      </w:pPr>
      <w:r w:rsidRPr="0081183B">
        <w:rPr>
          <w:rFonts w:ascii="Arial" w:hAnsi="Arial" w:cs="Arial"/>
          <w:b/>
        </w:rPr>
        <w:t>Introduction</w:t>
      </w:r>
    </w:p>
    <w:p w:rsidR="005E409F" w:rsidRPr="0081183B" w:rsidRDefault="005E409F" w:rsidP="005E409F">
      <w:pPr>
        <w:jc w:val="both"/>
        <w:rPr>
          <w:rFonts w:ascii="Arial" w:hAnsi="Arial" w:cs="Arial"/>
        </w:rPr>
      </w:pPr>
      <w:r w:rsidRPr="0081183B">
        <w:rPr>
          <w:rFonts w:ascii="Arial" w:hAnsi="Arial" w:cs="Arial"/>
        </w:rPr>
        <w:t xml:space="preserve">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is committed to ensuring equal treatment to all its employees, pupils and any others involved in 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community with any form of disability and will ensure that disabled people are not treated less favourably in any procedures, practices and service delivery</w:t>
      </w:r>
      <w:r w:rsidRPr="0081183B">
        <w:rPr>
          <w:rFonts w:ascii="Arial" w:hAnsi="Arial" w:cs="Arial"/>
          <w:b/>
        </w:rPr>
        <w:t xml:space="preserve">.  </w:t>
      </w:r>
      <w:r w:rsidRPr="0081183B">
        <w:rPr>
          <w:rFonts w:ascii="Arial" w:hAnsi="Arial" w:cs="Arial"/>
        </w:rPr>
        <w:t xml:space="preserve">The </w:t>
      </w:r>
      <w:r w:rsidR="004824E3">
        <w:rPr>
          <w:rFonts w:ascii="Arial" w:hAnsi="Arial" w:cs="Arial"/>
        </w:rPr>
        <w:t>academy</w:t>
      </w:r>
      <w:r w:rsidRPr="0081183B">
        <w:rPr>
          <w:rFonts w:ascii="Arial" w:hAnsi="Arial" w:cs="Arial"/>
        </w:rPr>
        <w:t xml:space="preserve"> will not tolerate harassment of any person whether a disabled person with any form of impairment or a pupil who is a </w:t>
      </w:r>
      <w:proofErr w:type="spellStart"/>
      <w:r w:rsidRPr="0081183B">
        <w:rPr>
          <w:rFonts w:ascii="Arial" w:hAnsi="Arial" w:cs="Arial"/>
        </w:rPr>
        <w:t>carer</w:t>
      </w:r>
      <w:proofErr w:type="spellEnd"/>
      <w:r w:rsidRPr="0081183B">
        <w:rPr>
          <w:rFonts w:ascii="Arial" w:hAnsi="Arial" w:cs="Arial"/>
        </w:rPr>
        <w:t xml:space="preserve"> of disabled parents.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lastRenderedPageBreak/>
        <w:t>Duties under part 5a of the Disability Discrimination Act (DDA) require the Governing Body to: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1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Promote equality of opportunity for disabled people; pupils, staff, parents, carers and other people who use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or may wish to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1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Prepare and publish a disability equality scheme to show how they will meet these duties.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DDA also requires the Governing Body to plan to increase access to education for disabled pupils in three ways.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Increase the extent to which disabled pupils can participate in the curriculum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Improve the environment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2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Improve the delivery of information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This scheme and the accompanying action plans set out how the Governing Body will promote equality of opportunity for disabled people.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sz w:val="22"/>
          <w:szCs w:val="22"/>
        </w:rPr>
      </w:pPr>
      <w:r w:rsidRPr="0081183B">
        <w:rPr>
          <w:rFonts w:cs="Arial"/>
          <w:sz w:val="22"/>
          <w:szCs w:val="22"/>
        </w:rPr>
        <w:t>Definition of Disability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A disabled person is someone who has a </w:t>
      </w:r>
      <w:r w:rsidRPr="0081183B">
        <w:rPr>
          <w:rFonts w:cs="Arial"/>
          <w:sz w:val="22"/>
          <w:szCs w:val="22"/>
        </w:rPr>
        <w:t>physical or mental impairment</w:t>
      </w:r>
      <w:r w:rsidRPr="0081183B">
        <w:rPr>
          <w:rFonts w:cs="Arial"/>
          <w:b w:val="0"/>
          <w:sz w:val="22"/>
          <w:szCs w:val="22"/>
        </w:rPr>
        <w:t xml:space="preserve"> that has a substantial or </w:t>
      </w:r>
      <w:r w:rsidRPr="0081183B">
        <w:rPr>
          <w:rFonts w:cs="Arial"/>
          <w:sz w:val="22"/>
          <w:szCs w:val="22"/>
        </w:rPr>
        <w:t>long term</w:t>
      </w:r>
      <w:r w:rsidRPr="0081183B">
        <w:rPr>
          <w:rFonts w:cs="Arial"/>
          <w:b w:val="0"/>
          <w:sz w:val="22"/>
          <w:szCs w:val="22"/>
        </w:rPr>
        <w:t xml:space="preserve"> adverse effect on his or her ability to carry out </w:t>
      </w:r>
      <w:r w:rsidRPr="0081183B">
        <w:rPr>
          <w:rFonts w:cs="Arial"/>
          <w:sz w:val="22"/>
          <w:szCs w:val="22"/>
        </w:rPr>
        <w:t>normal day to day activities.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A physical or mental impairment</w:t>
      </w:r>
      <w:r w:rsidRPr="0081183B">
        <w:rPr>
          <w:rFonts w:cs="Arial"/>
          <w:b w:val="0"/>
          <w:sz w:val="22"/>
          <w:szCs w:val="22"/>
        </w:rPr>
        <w:t xml:space="preserve"> includes sensory impairments, impairment relating to mental functioning including learning disabilities, long term health conditions such as diabetes, epilepsy, HIV, cancer or multiple sclerosis.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Long term</w:t>
      </w:r>
      <w:r w:rsidRPr="0081183B">
        <w:rPr>
          <w:rFonts w:cs="Arial"/>
          <w:b w:val="0"/>
          <w:sz w:val="22"/>
          <w:szCs w:val="22"/>
        </w:rPr>
        <w:t xml:space="preserve"> means an impairment that has lasted at least 12 months or is expected to last at least 12 months.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ind w:left="1080"/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3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Normal day to day activities</w:t>
      </w:r>
      <w:r w:rsidRPr="0081183B">
        <w:rPr>
          <w:rFonts w:cs="Arial"/>
          <w:b w:val="0"/>
          <w:sz w:val="22"/>
          <w:szCs w:val="22"/>
        </w:rPr>
        <w:t xml:space="preserve"> cover the following categories:  mobility, manual dexterity, physical co-ordination, continence, ability to lift, carry or move objects, </w:t>
      </w:r>
      <w:r w:rsidRPr="0081183B">
        <w:rPr>
          <w:rFonts w:cs="Arial"/>
          <w:b w:val="0"/>
          <w:sz w:val="22"/>
          <w:szCs w:val="22"/>
        </w:rPr>
        <w:lastRenderedPageBreak/>
        <w:t>speech, hearing or eyesight, memory or ability to concentrate, learn or understand perception or the risk of physical danger.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The General Duty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We will actively seek to: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Promote equality of opportunity between disabled persons and other persons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Eliminate discrimination that is unlawful under the Act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Eliminate harassment of disabled persons that is related to their disabilities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Promote positive attitudes towards disabled persons – this means not representing people in a demeaning way and it also means not pretending they don’t exist and not representing them anywhere at all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Encourage participation by disabled persons in public life – it is also important to respect the wishes of disabled children in an educational setting so that they do not feel pushed into activities they do not wish to take part in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4"/>
        </w:numPr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Take steps to take account of disabled persons’ disabilities, even where that involves treating disabled persons more favourably than other persons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How We Will Meet the General Duty and Specific Duty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production of this disability equality scheme provides us with a framework for integrating disability equality into all aspects of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life and demonstrates how we are seeking to meet the specific duty, i.e. to produce a Disability Equality Scheme for our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main actions to be taken to promote disability equality are described in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’s Accessibility Plan, which will be subject to revision as necessary.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tabs>
          <w:tab w:val="left" w:pos="4820"/>
        </w:tabs>
        <w:rPr>
          <w:rFonts w:cs="Arial"/>
          <w:b w:val="0"/>
          <w:sz w:val="22"/>
          <w:szCs w:val="22"/>
        </w:rPr>
      </w:pPr>
      <w:r w:rsidRPr="0081183B">
        <w:rPr>
          <w:rFonts w:cs="Arial"/>
          <w:sz w:val="22"/>
          <w:szCs w:val="22"/>
        </w:rPr>
        <w:t>Reasonable Adjustments</w:t>
      </w:r>
    </w:p>
    <w:p w:rsidR="005E409F" w:rsidRPr="0081183B" w:rsidRDefault="005E409F" w:rsidP="005E409F">
      <w:pPr>
        <w:pStyle w:val="StyleHeading1Left0cmFirstline0cm"/>
        <w:tabs>
          <w:tab w:val="left" w:pos="4820"/>
        </w:tabs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jc w:val="both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DDA requires </w:t>
      </w:r>
      <w:proofErr w:type="spellStart"/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s</w:t>
      </w:r>
      <w:proofErr w:type="spellEnd"/>
      <w:r w:rsidRPr="0081183B">
        <w:rPr>
          <w:rFonts w:cs="Arial"/>
          <w:b w:val="0"/>
          <w:sz w:val="22"/>
          <w:szCs w:val="22"/>
        </w:rPr>
        <w:t xml:space="preserve"> to make reasonable adjustments to ensure that disabled pupils and users of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are not put at a substantial disadvantage and are able to access the same opportunities as non-disabled peers.  Specifically,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intends that disabled pupils and users will have the same access to the curriculum, to information and access to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environment and facilities as non-disabled pupils and users.  In planning developments to deliver this intention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considers the needs of current and future pupils and users of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>.  The main strategies to bring about reasonable adjustments in the next three years are described in the Accessibility Plan; however reasonable adjustments are made on an individual basis according to need, by working collaboratively with disabled persons and/or their parents.  In deciding whether an adjustment is reasonable the following factors need to be taken into consideration:</w:t>
      </w:r>
    </w:p>
    <w:p w:rsidR="005E409F" w:rsidRPr="0081183B" w:rsidRDefault="005E409F" w:rsidP="005E409F">
      <w:pPr>
        <w:pStyle w:val="StyleHeading1Left0cmFirstline0cm"/>
        <w:jc w:val="both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extent to which the adjustment would prevent the disadvantage suffered by the disabled person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practicality of the adjustment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availability of financial assistance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The financial burden of making the adjustment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5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size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will be successful in making reasonable adjustments when disabled persons can, wherever possible, participate fully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In the classroom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lastRenderedPageBreak/>
        <w:t xml:space="preserve">In the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curriculum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Default="005E409F" w:rsidP="005E409F">
      <w:pPr>
        <w:pStyle w:val="StyleHeading1Left0cmFirstline0cm"/>
        <w:numPr>
          <w:ilvl w:val="0"/>
          <w:numId w:val="6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At all times and in all parts of the building </w:t>
      </w:r>
    </w:p>
    <w:p w:rsidR="005E409F" w:rsidRP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and when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Disabled persons feel part of the life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Disabled persons are included by their peers in all parts of </w:t>
      </w:r>
      <w:r w:rsidR="004824E3">
        <w:rPr>
          <w:rFonts w:cs="Arial"/>
          <w:b w:val="0"/>
          <w:sz w:val="22"/>
          <w:szCs w:val="22"/>
        </w:rPr>
        <w:t>academy</w:t>
      </w:r>
      <w:r w:rsidRPr="0081183B">
        <w:rPr>
          <w:rFonts w:cs="Arial"/>
          <w:b w:val="0"/>
          <w:sz w:val="22"/>
          <w:szCs w:val="22"/>
        </w:rPr>
        <w:t xml:space="preserve"> life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 xml:space="preserve">Parents or carers of disabled students feel their child is part of the life of the </w:t>
      </w:r>
      <w:r w:rsidR="004824E3">
        <w:rPr>
          <w:rFonts w:cs="Arial"/>
          <w:b w:val="0"/>
          <w:sz w:val="22"/>
          <w:szCs w:val="22"/>
        </w:rPr>
        <w:t>academy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Default="005E409F" w:rsidP="005E409F">
      <w:pPr>
        <w:pStyle w:val="StyleHeading1Left0cmFirstline0cm"/>
        <w:numPr>
          <w:ilvl w:val="0"/>
          <w:numId w:val="7"/>
        </w:numPr>
        <w:rPr>
          <w:rFonts w:cs="Arial"/>
          <w:b w:val="0"/>
          <w:sz w:val="22"/>
          <w:szCs w:val="22"/>
        </w:rPr>
      </w:pPr>
      <w:r w:rsidRPr="0081183B">
        <w:rPr>
          <w:rFonts w:cs="Arial"/>
          <w:b w:val="0"/>
          <w:sz w:val="22"/>
          <w:szCs w:val="22"/>
        </w:rPr>
        <w:t>Staff feel confident in working with disabled pupils</w:t>
      </w:r>
    </w:p>
    <w:p w:rsidR="005E409F" w:rsidRDefault="005E409F" w:rsidP="005E409F">
      <w:pPr>
        <w:pStyle w:val="Footer"/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Footer"/>
        <w:ind w:left="928"/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6237"/>
      </w:tblGrid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sz w:val="20"/>
                <w:lang w:eastAsia="en-GB"/>
              </w:rPr>
            </w:pPr>
            <w:r w:rsidRPr="0081183B">
              <w:rPr>
                <w:rFonts w:cs="Arial"/>
                <w:sz w:val="20"/>
                <w:lang w:eastAsia="en-GB"/>
              </w:rPr>
              <w:lastRenderedPageBreak/>
              <w:t>General Duty Main Actions</w:t>
            </w:r>
          </w:p>
        </w:tc>
        <w:tc>
          <w:tcPr>
            <w:tcW w:w="6237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sz w:val="20"/>
                <w:lang w:eastAsia="en-GB"/>
              </w:rPr>
              <w:t>Action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Promote equality of opportunity</w:t>
            </w:r>
          </w:p>
        </w:tc>
        <w:tc>
          <w:tcPr>
            <w:tcW w:w="6237" w:type="dxa"/>
          </w:tcPr>
          <w:p w:rsidR="005E409F" w:rsidRPr="0081183B" w:rsidRDefault="004824E3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>
              <w:rPr>
                <w:rFonts w:cs="Arial"/>
                <w:b w:val="0"/>
                <w:sz w:val="20"/>
                <w:lang w:eastAsia="en-GB"/>
              </w:rPr>
              <w:t>Reference academy</w:t>
            </w:r>
            <w:r w:rsidR="005E409F" w:rsidRPr="0081183B">
              <w:rPr>
                <w:rFonts w:cs="Arial"/>
                <w:b w:val="0"/>
                <w:sz w:val="20"/>
                <w:lang w:eastAsia="en-GB"/>
              </w:rPr>
              <w:t xml:space="preserve"> Accessibility Plan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As an equal opportunities employer we would ensure that reasonable steps were taken to enable a member of staff with a disability was able to participate fully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life e.g. providing special seating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Actively seek views of pupils, staff and users of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8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SEN</w:t>
            </w:r>
            <w:r w:rsidR="007016DB">
              <w:rPr>
                <w:rFonts w:cs="Arial"/>
                <w:b w:val="0"/>
                <w:sz w:val="20"/>
                <w:lang w:eastAsia="en-GB"/>
              </w:rPr>
              <w:t>D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policy.  Utilise children’s support services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Eliminating discrimination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staff training includes consideration/implications towards any disability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health and safety considerations are met and relevant training provided e.g. manual handling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policy review considers the impact of disabilities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9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Lesson planning considers full involvement of pupils with disabilities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Eliminating harassment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0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Anti-Bullying Policy (reviewed annually)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0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Reference SEAL PSHCE programme of work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Promoting positive attitudes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1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Staff actively encouraging understanding by pupils of the impact of disabilities on accessing the curriculum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1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Ensuring that there are positive images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books and other materials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Encouraging participation in public life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Ensure opportunities are taken to provide positive role models of disabled people where possible</w:t>
            </w:r>
          </w:p>
        </w:tc>
      </w:tr>
      <w:tr w:rsidR="005E409F" w:rsidRPr="0081183B" w:rsidTr="007001D3">
        <w:tc>
          <w:tcPr>
            <w:tcW w:w="4219" w:type="dxa"/>
          </w:tcPr>
          <w:p w:rsidR="005E409F" w:rsidRPr="0081183B" w:rsidRDefault="005E409F" w:rsidP="007001D3">
            <w:pPr>
              <w:pStyle w:val="StyleHeading1Left0cmFirstline0cm"/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Taking steps to meet disabled people’s needs, even if this requires more favourable treatment</w:t>
            </w:r>
          </w:p>
        </w:tc>
        <w:tc>
          <w:tcPr>
            <w:tcW w:w="6237" w:type="dxa"/>
          </w:tcPr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Visitors to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– practical steps are taken to ensure visitors’ needs are met, e.g. disabled toilet facility, disabled access parking in close proximity to the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>, preferential seating when required, assigning a person to support where necessary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Pupils – ensuring that their needs and wishes are taken into account when making decisions regarding participation in </w:t>
            </w:r>
            <w:r w:rsidR="004824E3">
              <w:rPr>
                <w:rFonts w:cs="Arial"/>
                <w:b w:val="0"/>
                <w:sz w:val="20"/>
                <w:lang w:eastAsia="en-GB"/>
              </w:rPr>
              <w:t>academy</w:t>
            </w:r>
            <w:r w:rsidRPr="0081183B">
              <w:rPr>
                <w:rFonts w:cs="Arial"/>
                <w:b w:val="0"/>
                <w:sz w:val="20"/>
                <w:lang w:eastAsia="en-GB"/>
              </w:rPr>
              <w:t xml:space="preserve"> life, e.g. being sensitive to pupil’s feelings with regard to participation in some events such as sports day</w:t>
            </w:r>
          </w:p>
          <w:p w:rsidR="005E409F" w:rsidRPr="0081183B" w:rsidRDefault="005E409F" w:rsidP="005E409F">
            <w:pPr>
              <w:pStyle w:val="StyleHeading1Left0cmFirstline0cm"/>
              <w:numPr>
                <w:ilvl w:val="0"/>
                <w:numId w:val="12"/>
              </w:numPr>
              <w:rPr>
                <w:rFonts w:cs="Arial"/>
                <w:b w:val="0"/>
                <w:sz w:val="20"/>
                <w:lang w:eastAsia="en-GB"/>
              </w:rPr>
            </w:pPr>
            <w:r w:rsidRPr="0081183B">
              <w:rPr>
                <w:rFonts w:cs="Arial"/>
                <w:b w:val="0"/>
                <w:sz w:val="20"/>
                <w:lang w:eastAsia="en-GB"/>
              </w:rPr>
              <w:t>Staff – training where necessary</w:t>
            </w:r>
          </w:p>
        </w:tc>
      </w:tr>
    </w:tbl>
    <w:p w:rsidR="005E409F" w:rsidRDefault="005E409F" w:rsidP="005E409F">
      <w:pPr>
        <w:pStyle w:val="Footer"/>
      </w:pPr>
    </w:p>
    <w:p w:rsidR="005E409F" w:rsidRDefault="005E409F" w:rsidP="005E409F">
      <w:pPr>
        <w:pStyle w:val="Footer"/>
      </w:pPr>
    </w:p>
    <w:p w:rsid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0"/>
        </w:rPr>
      </w:pPr>
      <w:r w:rsidRPr="0081183B">
        <w:rPr>
          <w:rFonts w:cs="Arial"/>
          <w:b w:val="0"/>
          <w:sz w:val="20"/>
        </w:rPr>
        <w:t>.</w:t>
      </w: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0"/>
        </w:rPr>
      </w:pPr>
    </w:p>
    <w:p w:rsidR="005E409F" w:rsidRPr="0081183B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Pr="0081183B" w:rsidRDefault="005E409F" w:rsidP="005E409F">
      <w:pPr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Accessibility Plan</w:t>
      </w:r>
    </w:p>
    <w:p w:rsidR="005E409F" w:rsidRPr="0081183B" w:rsidRDefault="005E409F" w:rsidP="005E409F">
      <w:pPr>
        <w:jc w:val="both"/>
        <w:rPr>
          <w:rFonts w:ascii="Arial" w:hAnsi="Arial" w:cs="Arial"/>
          <w:sz w:val="20"/>
          <w:szCs w:val="20"/>
        </w:rPr>
      </w:pPr>
      <w:r w:rsidRPr="0081183B">
        <w:rPr>
          <w:rFonts w:ascii="Arial" w:hAnsi="Arial" w:cs="Arial"/>
          <w:sz w:val="20"/>
          <w:szCs w:val="20"/>
        </w:rPr>
        <w:t xml:space="preserve">This Accessibility Plan has been written to allow the </w:t>
      </w:r>
      <w:r w:rsidR="004824E3">
        <w:rPr>
          <w:rFonts w:ascii="Arial" w:hAnsi="Arial" w:cs="Arial"/>
          <w:sz w:val="20"/>
          <w:szCs w:val="20"/>
        </w:rPr>
        <w:t>academy</w:t>
      </w:r>
      <w:r w:rsidRPr="0081183B">
        <w:rPr>
          <w:rFonts w:ascii="Arial" w:hAnsi="Arial" w:cs="Arial"/>
          <w:sz w:val="20"/>
          <w:szCs w:val="20"/>
        </w:rPr>
        <w:t xml:space="preserve"> to respond quickly to needs as they are identified.  Our first action would always be to discuss needs and limitations and seek advice, support and guidance as appropriate from outside agencies.</w:t>
      </w:r>
    </w:p>
    <w:p w:rsidR="005E409F" w:rsidRDefault="005E409F" w:rsidP="005E409F">
      <w:pPr>
        <w:rPr>
          <w:rFonts w:ascii="Arial" w:hAnsi="Arial" w:cs="Arial"/>
          <w:sz w:val="20"/>
          <w:szCs w:val="20"/>
        </w:rPr>
      </w:pPr>
      <w:r w:rsidRPr="0081183B">
        <w:rPr>
          <w:rFonts w:ascii="Arial" w:hAnsi="Arial" w:cs="Arial"/>
          <w:b/>
          <w:sz w:val="20"/>
          <w:szCs w:val="20"/>
        </w:rPr>
        <w:t xml:space="preserve">Already achieved:   </w:t>
      </w:r>
      <w:r w:rsidR="007016DB">
        <w:rPr>
          <w:rFonts w:ascii="Arial" w:hAnsi="Arial" w:cs="Arial"/>
          <w:sz w:val="20"/>
          <w:szCs w:val="20"/>
        </w:rPr>
        <w:t>Ramp access on ground floor for EYFS classrooms</w:t>
      </w:r>
      <w:r w:rsidR="007016D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 xml:space="preserve"> </w:t>
      </w:r>
      <w:r w:rsidR="007016DB">
        <w:rPr>
          <w:rFonts w:ascii="Arial" w:hAnsi="Arial" w:cs="Arial"/>
          <w:sz w:val="20"/>
          <w:szCs w:val="20"/>
        </w:rPr>
        <w:t xml:space="preserve">  August 2018</w:t>
      </w:r>
    </w:p>
    <w:p w:rsidR="007016DB" w:rsidRPr="0081183B" w:rsidRDefault="007016DB" w:rsidP="005E40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Exit door adjusted to open appropriately onto ramps   August 2018</w:t>
      </w:r>
    </w:p>
    <w:p w:rsidR="005E409F" w:rsidRPr="0081183B" w:rsidRDefault="005E409F" w:rsidP="005E40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81183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ab/>
      </w:r>
      <w:r w:rsidRPr="008118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7016DB">
        <w:rPr>
          <w:rFonts w:ascii="Arial" w:hAnsi="Arial" w:cs="Arial"/>
          <w:sz w:val="20"/>
          <w:szCs w:val="20"/>
        </w:rPr>
        <w:t xml:space="preserve"> </w:t>
      </w: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Default="005E409F" w:rsidP="005E409F">
      <w:pPr>
        <w:pStyle w:val="Footer"/>
        <w:rPr>
          <w:rFonts w:ascii="Arial" w:hAnsi="Arial" w:cs="Arial"/>
          <w:sz w:val="20"/>
          <w:szCs w:val="20"/>
        </w:rPr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Improvements to the Curriculum and Improving the Delivery of information to Disabled Pupils and Adults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6"/>
        <w:gridCol w:w="2671"/>
        <w:gridCol w:w="1046"/>
        <w:gridCol w:w="1779"/>
        <w:gridCol w:w="1110"/>
      </w:tblGrid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Target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Planned Action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183B">
              <w:rPr>
                <w:rFonts w:ascii="Arial" w:hAnsi="Arial" w:cs="Arial"/>
                <w:b/>
                <w:sz w:val="20"/>
                <w:szCs w:val="20"/>
              </w:rPr>
              <w:t>Cost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all p</w:t>
            </w:r>
            <w:r>
              <w:rPr>
                <w:rFonts w:ascii="Arial" w:hAnsi="Arial" w:cs="Arial"/>
                <w:sz w:val="20"/>
                <w:szCs w:val="20"/>
              </w:rPr>
              <w:t>olicies and procedures are SEND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 compliant.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Check policies and procedures at time of review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DCo</w:t>
            </w:r>
            <w:proofErr w:type="spellEnd"/>
            <w:r w:rsidRPr="0081183B">
              <w:rPr>
                <w:rFonts w:ascii="Arial" w:hAnsi="Arial" w:cs="Arial"/>
                <w:sz w:val="20"/>
                <w:szCs w:val="20"/>
              </w:rPr>
              <w:t xml:space="preserve"> and GB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ensure all information is available to all regardless of disability.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identify support and from the local authority as required e.g. with regard to obtaining transcriptions for the visually impaired.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As required 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office manager,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81183B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that all signs and notices are easily seen and reach by a wheelchair user.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Place all signs and notices where a wheelchair user can easily see and reach them.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Office manager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that all staff have regular updated training on known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needs and disability awareness t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raining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identify training from the local authority as required.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On going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</w:t>
            </w:r>
            <w:proofErr w:type="spellStart"/>
            <w:r w:rsidRPr="0081183B">
              <w:rPr>
                <w:rFonts w:ascii="Arial" w:hAnsi="Arial" w:cs="Arial"/>
                <w:sz w:val="20"/>
                <w:szCs w:val="20"/>
              </w:rPr>
              <w:t>SEN</w:t>
            </w:r>
            <w:r>
              <w:rPr>
                <w:rFonts w:ascii="Arial" w:hAnsi="Arial" w:cs="Arial"/>
                <w:sz w:val="20"/>
                <w:szCs w:val="20"/>
              </w:rPr>
              <w:t>DCo</w:t>
            </w:r>
            <w:proofErr w:type="spellEnd"/>
            <w:r w:rsidRPr="00811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01D3">
        <w:tc>
          <w:tcPr>
            <w:tcW w:w="3172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investigate accessibility options within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’s ICT systems </w:t>
            </w:r>
          </w:p>
        </w:tc>
        <w:tc>
          <w:tcPr>
            <w:tcW w:w="3173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Explore ICT software as a way of supporting pupils with disabilities as required. </w:t>
            </w:r>
          </w:p>
        </w:tc>
        <w:tc>
          <w:tcPr>
            <w:tcW w:w="108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857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SENDCo</w:t>
            </w:r>
            <w:proofErr w:type="spellEnd"/>
          </w:p>
        </w:tc>
        <w:tc>
          <w:tcPr>
            <w:tcW w:w="113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5E409F" w:rsidRPr="0081183B" w:rsidRDefault="005E409F" w:rsidP="005E409F">
      <w:pPr>
        <w:rPr>
          <w:rFonts w:ascii="Arial" w:hAnsi="Arial" w:cs="Arial"/>
          <w:b/>
          <w:sz w:val="20"/>
          <w:szCs w:val="20"/>
        </w:rPr>
      </w:pPr>
    </w:p>
    <w:p w:rsidR="005E409F" w:rsidRDefault="005E409F" w:rsidP="005E409F">
      <w:pPr>
        <w:pStyle w:val="Footer"/>
      </w:pPr>
    </w:p>
    <w:p w:rsidR="005E409F" w:rsidRPr="0081183B" w:rsidRDefault="005E409F" w:rsidP="005E409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1183B">
        <w:rPr>
          <w:rFonts w:ascii="Arial" w:hAnsi="Arial" w:cs="Arial"/>
          <w:b/>
          <w:sz w:val="20"/>
          <w:szCs w:val="20"/>
          <w:u w:val="single"/>
        </w:rPr>
        <w:t>Improvements to the Physical Environment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754"/>
        <w:gridCol w:w="1169"/>
        <w:gridCol w:w="1315"/>
        <w:gridCol w:w="1106"/>
      </w:tblGrid>
      <w:tr w:rsidR="005E409F" w:rsidRPr="0081183B" w:rsidTr="007016DB">
        <w:tc>
          <w:tcPr>
            <w:tcW w:w="28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ensure that as each area of the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 xml:space="preserve"> is redecorated/refurbished the needs of people with disabilities are considered. </w:t>
            </w:r>
          </w:p>
        </w:tc>
        <w:tc>
          <w:tcPr>
            <w:tcW w:w="275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Premises, Health and safety Committee to ensure this is discussed when work is agreed. </w:t>
            </w:r>
          </w:p>
        </w:tc>
        <w:tc>
          <w:tcPr>
            <w:tcW w:w="1169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On going </w:t>
            </w:r>
          </w:p>
        </w:tc>
        <w:tc>
          <w:tcPr>
            <w:tcW w:w="1315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Head, Chair of Premises, Health and Safety </w:t>
            </w:r>
          </w:p>
        </w:tc>
        <w:tc>
          <w:tcPr>
            <w:tcW w:w="110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Unknown.</w:t>
            </w:r>
          </w:p>
        </w:tc>
      </w:tr>
      <w:tr w:rsidR="005E409F" w:rsidRPr="0081183B" w:rsidTr="007016DB">
        <w:tc>
          <w:tcPr>
            <w:tcW w:w="28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To ensure ease of access for all wheelchair users.</w:t>
            </w:r>
          </w:p>
        </w:tc>
        <w:tc>
          <w:tcPr>
            <w:tcW w:w="275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Change exit doors so that they open outwards with minimum of 850mm clear passage width.</w:t>
            </w:r>
          </w:p>
        </w:tc>
        <w:tc>
          <w:tcPr>
            <w:tcW w:w="1169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budget permits</w:t>
            </w:r>
          </w:p>
        </w:tc>
        <w:tc>
          <w:tcPr>
            <w:tcW w:w="1315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10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£3000</w:t>
            </w:r>
          </w:p>
        </w:tc>
      </w:tr>
      <w:tr w:rsidR="005E409F" w:rsidRPr="0081183B" w:rsidTr="007016DB">
        <w:tc>
          <w:tcPr>
            <w:tcW w:w="28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ensure the reception office can be accessed easily by </w:t>
            </w: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wheelchair users.</w:t>
            </w:r>
          </w:p>
        </w:tc>
        <w:tc>
          <w:tcPr>
            <w:tcW w:w="275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 xml:space="preserve">Change the Reception office counter so that it is provided </w:t>
            </w: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at two heights. A section of the counter should be at a height of 760-800mm, with a minimum knee space 800mm wide, 500mm deep and 700mmhigh. The remaining section of the counter should be at a height of 950 -1100 mm.</w:t>
            </w:r>
          </w:p>
        </w:tc>
        <w:tc>
          <w:tcPr>
            <w:tcW w:w="1169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As budget permits</w:t>
            </w:r>
          </w:p>
        </w:tc>
        <w:tc>
          <w:tcPr>
            <w:tcW w:w="1315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10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16DB">
        <w:tc>
          <w:tcPr>
            <w:tcW w:w="28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lastRenderedPageBreak/>
              <w:t>To assist pupils and visitors with hearing impairment.</w:t>
            </w:r>
          </w:p>
        </w:tc>
        <w:tc>
          <w:tcPr>
            <w:tcW w:w="275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 xml:space="preserve">To explore the costs of installing induction loops throughout the </w:t>
            </w:r>
            <w:r w:rsidR="004824E3">
              <w:rPr>
                <w:rFonts w:ascii="Arial" w:hAnsi="Arial" w:cs="Arial"/>
                <w:sz w:val="20"/>
                <w:szCs w:val="20"/>
              </w:rPr>
              <w:t>academy</w:t>
            </w:r>
            <w:r w:rsidRPr="008118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9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315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10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5E409F" w:rsidRPr="0081183B" w:rsidTr="007016DB">
        <w:tc>
          <w:tcPr>
            <w:tcW w:w="2898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81183B">
              <w:rPr>
                <w:rFonts w:ascii="Arial" w:hAnsi="Arial" w:cs="Arial"/>
                <w:sz w:val="20"/>
                <w:szCs w:val="20"/>
              </w:rPr>
              <w:t>To improve access to all the curriculum for all pupils</w:t>
            </w:r>
          </w:p>
        </w:tc>
        <w:tc>
          <w:tcPr>
            <w:tcW w:w="2754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Provide ramped access to swimming pool.</w:t>
            </w:r>
          </w:p>
        </w:tc>
        <w:tc>
          <w:tcPr>
            <w:tcW w:w="1169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As required</w:t>
            </w:r>
          </w:p>
        </w:tc>
        <w:tc>
          <w:tcPr>
            <w:tcW w:w="1315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Head, GB</w:t>
            </w:r>
          </w:p>
        </w:tc>
        <w:tc>
          <w:tcPr>
            <w:tcW w:w="1106" w:type="dxa"/>
          </w:tcPr>
          <w:p w:rsidR="005E409F" w:rsidRPr="0081183B" w:rsidRDefault="005E409F" w:rsidP="007001D3">
            <w:pPr>
              <w:rPr>
                <w:rFonts w:ascii="Arial" w:hAnsi="Arial" w:cs="Arial"/>
                <w:sz w:val="20"/>
                <w:szCs w:val="20"/>
              </w:rPr>
            </w:pPr>
            <w:r w:rsidRPr="0081183B"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</w:tbl>
    <w:p w:rsidR="005E409F" w:rsidRPr="00115B20" w:rsidRDefault="005E409F" w:rsidP="005E409F">
      <w:pPr>
        <w:rPr>
          <w:rFonts w:ascii="Comic Sans MS" w:hAnsi="Comic Sans MS" w:cs="Arial"/>
          <w:b/>
          <w:sz w:val="20"/>
          <w:szCs w:val="20"/>
          <w:u w:val="single"/>
        </w:rPr>
      </w:pPr>
    </w:p>
    <w:p w:rsidR="005E409F" w:rsidRPr="005E409F" w:rsidRDefault="005E409F" w:rsidP="005E409F">
      <w:pPr>
        <w:pStyle w:val="Footer"/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b w:val="0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  <w:r w:rsidRPr="0081183B">
        <w:rPr>
          <w:rFonts w:cs="Arial"/>
          <w:sz w:val="22"/>
          <w:szCs w:val="22"/>
        </w:rPr>
        <w:t xml:space="preserve"> </w:t>
      </w: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5E409F" w:rsidRPr="0081183B" w:rsidRDefault="005E409F" w:rsidP="005E409F">
      <w:pPr>
        <w:pStyle w:val="StyleHeading1Left0cmFirstline0cm"/>
        <w:rPr>
          <w:rFonts w:cs="Arial"/>
          <w:sz w:val="22"/>
          <w:szCs w:val="22"/>
        </w:rPr>
      </w:pPr>
    </w:p>
    <w:p w:rsidR="00D229CD" w:rsidRDefault="00D229CD"/>
    <w:sectPr w:rsidR="00D229CD" w:rsidSect="00D229C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7D0" w:rsidRDefault="001C37D0" w:rsidP="005E409F">
      <w:pPr>
        <w:spacing w:after="0" w:line="240" w:lineRule="auto"/>
      </w:pPr>
      <w:r>
        <w:separator/>
      </w:r>
    </w:p>
  </w:endnote>
  <w:endnote w:type="continuationSeparator" w:id="0">
    <w:p w:rsidR="001C37D0" w:rsidRDefault="001C37D0" w:rsidP="005E4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A8A" w:rsidRPr="00F46A8A" w:rsidRDefault="00F46A8A" w:rsidP="00F46A8A">
    <w:pPr>
      <w:pStyle w:val="Footer"/>
      <w:rPr>
        <w:i/>
        <w:sz w:val="18"/>
        <w:szCs w:val="18"/>
      </w:rPr>
    </w:pPr>
    <w:r w:rsidRPr="00F46A8A">
      <w:rPr>
        <w:rFonts w:ascii="Arial" w:hAnsi="Arial" w:cs="Arial"/>
        <w:bCs/>
        <w:i/>
        <w:sz w:val="18"/>
        <w:szCs w:val="18"/>
      </w:rPr>
      <w:t>Disability Equality Scheme and Accessibility Plan</w:t>
    </w:r>
    <w:r w:rsidR="000716AF">
      <w:rPr>
        <w:i/>
        <w:sz w:val="18"/>
        <w:szCs w:val="18"/>
      </w:rPr>
      <w:t xml:space="preserve"> </w:t>
    </w:r>
    <w:r w:rsidR="007016DB">
      <w:rPr>
        <w:i/>
        <w:sz w:val="18"/>
        <w:szCs w:val="18"/>
      </w:rP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7D0" w:rsidRDefault="001C37D0" w:rsidP="005E409F">
      <w:pPr>
        <w:spacing w:after="0" w:line="240" w:lineRule="auto"/>
      </w:pPr>
      <w:r>
        <w:separator/>
      </w:r>
    </w:p>
  </w:footnote>
  <w:footnote w:type="continuationSeparator" w:id="0">
    <w:p w:rsidR="001C37D0" w:rsidRDefault="001C37D0" w:rsidP="005E4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9F" w:rsidRDefault="005E409F" w:rsidP="00F46A8A">
    <w:pPr>
      <w:pStyle w:val="Header"/>
      <w:jc w:val="center"/>
    </w:pPr>
  </w:p>
  <w:p w:rsidR="005E409F" w:rsidRDefault="005E409F" w:rsidP="005E409F">
    <w:pPr>
      <w:pStyle w:val="Header"/>
      <w:jc w:val="right"/>
    </w:pPr>
    <w:r w:rsidRPr="005E409F">
      <w:rPr>
        <w:noProof/>
        <w:lang w:eastAsia="en-GB"/>
      </w:rPr>
      <w:drawing>
        <wp:inline distT="0" distB="0" distL="0" distR="0">
          <wp:extent cx="771525" cy="876300"/>
          <wp:effectExtent l="19050" t="0" r="9525" b="0"/>
          <wp:docPr id="1" name="Picture 1" descr="School%20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%20Cr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30C5"/>
    <w:multiLevelType w:val="hybridMultilevel"/>
    <w:tmpl w:val="1032AE9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5731E7"/>
    <w:multiLevelType w:val="hybridMultilevel"/>
    <w:tmpl w:val="3F343B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96DE6"/>
    <w:multiLevelType w:val="hybridMultilevel"/>
    <w:tmpl w:val="1298C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576"/>
    <w:multiLevelType w:val="hybridMultilevel"/>
    <w:tmpl w:val="5BB81E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35D3E"/>
    <w:multiLevelType w:val="hybridMultilevel"/>
    <w:tmpl w:val="B4E8D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D4F94"/>
    <w:multiLevelType w:val="hybridMultilevel"/>
    <w:tmpl w:val="692AE4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66458"/>
    <w:multiLevelType w:val="hybridMultilevel"/>
    <w:tmpl w:val="4A9CAE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BF4BC8"/>
    <w:multiLevelType w:val="hybridMultilevel"/>
    <w:tmpl w:val="D7C078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0B08B1"/>
    <w:multiLevelType w:val="hybridMultilevel"/>
    <w:tmpl w:val="A336CC0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EB6E0B"/>
    <w:multiLevelType w:val="hybridMultilevel"/>
    <w:tmpl w:val="40FECD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840302"/>
    <w:multiLevelType w:val="hybridMultilevel"/>
    <w:tmpl w:val="F5347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854DA0"/>
    <w:multiLevelType w:val="hybridMultilevel"/>
    <w:tmpl w:val="FC9C8B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09F"/>
    <w:rsid w:val="000716AF"/>
    <w:rsid w:val="001C37D0"/>
    <w:rsid w:val="0023193B"/>
    <w:rsid w:val="004824E3"/>
    <w:rsid w:val="005E409F"/>
    <w:rsid w:val="007016DB"/>
    <w:rsid w:val="007E2F98"/>
    <w:rsid w:val="0092594E"/>
    <w:rsid w:val="00D229CD"/>
    <w:rsid w:val="00F4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B6E9"/>
  <w15:docId w15:val="{1B5F8E2C-5663-4672-A6F6-FC8E9054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09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4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09F"/>
  </w:style>
  <w:style w:type="paragraph" w:styleId="Footer">
    <w:name w:val="footer"/>
    <w:basedOn w:val="Normal"/>
    <w:link w:val="FooterChar"/>
    <w:uiPriority w:val="99"/>
    <w:unhideWhenUsed/>
    <w:rsid w:val="005E4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09F"/>
  </w:style>
  <w:style w:type="paragraph" w:styleId="BalloonText">
    <w:name w:val="Balloon Text"/>
    <w:basedOn w:val="Normal"/>
    <w:link w:val="BalloonTextChar"/>
    <w:uiPriority w:val="99"/>
    <w:semiHidden/>
    <w:unhideWhenUsed/>
    <w:rsid w:val="005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09F"/>
    <w:rPr>
      <w:rFonts w:ascii="Tahoma" w:hAnsi="Tahoma" w:cs="Tahoma"/>
      <w:sz w:val="16"/>
      <w:szCs w:val="16"/>
    </w:rPr>
  </w:style>
  <w:style w:type="paragraph" w:customStyle="1" w:styleId="StyleHeading1Left0cmFirstline0cm">
    <w:name w:val="Style Heading 1 + Left:  0 cm First line:  0 cm"/>
    <w:basedOn w:val="Heading1"/>
    <w:next w:val="Footer"/>
    <w:rsid w:val="005E409F"/>
    <w:pPr>
      <w:keepLines w:val="0"/>
      <w:spacing w:before="0" w:line="240" w:lineRule="auto"/>
    </w:pPr>
    <w:rPr>
      <w:rFonts w:ascii="Arial" w:eastAsia="Times New Roman" w:hAnsi="Arial" w:cs="Times New Roman"/>
      <w:color w:val="auto"/>
      <w:kern w:val="3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4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</dc:creator>
  <cp:lastModifiedBy>SEvans</cp:lastModifiedBy>
  <cp:revision>2</cp:revision>
  <dcterms:created xsi:type="dcterms:W3CDTF">2019-02-20T23:22:00Z</dcterms:created>
  <dcterms:modified xsi:type="dcterms:W3CDTF">2019-02-20T23:22:00Z</dcterms:modified>
</cp:coreProperties>
</file>